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BD" w:rsidRPr="00AB59F9" w:rsidRDefault="00860AFC" w:rsidP="00C47A8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9F9">
        <w:rPr>
          <w:rFonts w:ascii="Times New Roman" w:hAnsi="Times New Roman" w:cs="Times New Roman"/>
          <w:b/>
          <w:sz w:val="24"/>
          <w:szCs w:val="24"/>
        </w:rPr>
        <w:t xml:space="preserve">L'anticoagulante orale diretto è un'opzione migliore del </w:t>
      </w:r>
      <w:proofErr w:type="spellStart"/>
      <w:r w:rsidRPr="00AB59F9">
        <w:rPr>
          <w:rFonts w:ascii="Times New Roman" w:hAnsi="Times New Roman" w:cs="Times New Roman"/>
          <w:b/>
          <w:sz w:val="24"/>
          <w:szCs w:val="24"/>
        </w:rPr>
        <w:t>warfarin</w:t>
      </w:r>
      <w:proofErr w:type="spellEnd"/>
      <w:r w:rsidRPr="00AB59F9">
        <w:rPr>
          <w:rFonts w:ascii="Times New Roman" w:hAnsi="Times New Roman" w:cs="Times New Roman"/>
          <w:b/>
          <w:sz w:val="24"/>
          <w:szCs w:val="24"/>
        </w:rPr>
        <w:t xml:space="preserve"> per la prevenzione secondaria nei </w:t>
      </w:r>
      <w:r w:rsidR="001C49BD" w:rsidRPr="00AB59F9">
        <w:rPr>
          <w:rFonts w:ascii="Times New Roman" w:hAnsi="Times New Roman" w:cs="Times New Roman"/>
          <w:b/>
          <w:sz w:val="24"/>
          <w:szCs w:val="24"/>
        </w:rPr>
        <w:t xml:space="preserve">pazienti </w:t>
      </w:r>
      <w:r w:rsidRPr="00AB59F9">
        <w:rPr>
          <w:rFonts w:ascii="Times New Roman" w:hAnsi="Times New Roman" w:cs="Times New Roman"/>
          <w:b/>
          <w:sz w:val="24"/>
          <w:szCs w:val="24"/>
        </w:rPr>
        <w:t xml:space="preserve">più anziani </w:t>
      </w:r>
      <w:r w:rsidR="001C49BD" w:rsidRPr="00AB59F9">
        <w:rPr>
          <w:rFonts w:ascii="Times New Roman" w:hAnsi="Times New Roman" w:cs="Times New Roman"/>
          <w:b/>
          <w:sz w:val="24"/>
          <w:szCs w:val="24"/>
        </w:rPr>
        <w:t xml:space="preserve">con fibrillazione atriale </w:t>
      </w:r>
      <w:r w:rsidRPr="00AB59F9">
        <w:rPr>
          <w:rFonts w:ascii="Times New Roman" w:hAnsi="Times New Roman" w:cs="Times New Roman"/>
          <w:b/>
          <w:sz w:val="24"/>
          <w:szCs w:val="24"/>
        </w:rPr>
        <w:t>d</w:t>
      </w:r>
      <w:r w:rsidR="001C49BD" w:rsidRPr="00AB59F9">
        <w:rPr>
          <w:rFonts w:ascii="Times New Roman" w:hAnsi="Times New Roman" w:cs="Times New Roman"/>
          <w:b/>
          <w:sz w:val="24"/>
          <w:szCs w:val="24"/>
        </w:rPr>
        <w:t xml:space="preserve">opo </w:t>
      </w:r>
      <w:r w:rsidRPr="00AB59F9">
        <w:rPr>
          <w:rFonts w:ascii="Times New Roman" w:hAnsi="Times New Roman" w:cs="Times New Roman"/>
          <w:b/>
          <w:sz w:val="24"/>
          <w:szCs w:val="24"/>
        </w:rPr>
        <w:t>ictus ischemico</w:t>
      </w:r>
    </w:p>
    <w:p w:rsidR="001C49BD" w:rsidRPr="001C49BD" w:rsidRDefault="001C49BD" w:rsidP="00C47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BD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Dr. Giuseppe Trisolino, Specialista in Cardiologia - Segretario Regionale ANCE, Emilia-Romagna</w:t>
      </w:r>
    </w:p>
    <w:p w:rsidR="00A175B2" w:rsidRDefault="007E29B3" w:rsidP="00C47A8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Le attuali Linee g</w:t>
      </w:r>
      <w:r w:rsidR="003B2CE0" w:rsidRPr="001C49BD">
        <w:rPr>
          <w:rFonts w:ascii="Times New Roman" w:hAnsi="Times New Roman" w:cs="Times New Roman"/>
          <w:sz w:val="24"/>
          <w:szCs w:val="24"/>
        </w:rPr>
        <w:t xml:space="preserve">uida raccomandano gli anticoagulanti orali diretti (DOAC) rispetto al </w:t>
      </w:r>
      <w:proofErr w:type="spellStart"/>
      <w:r w:rsidR="003B2CE0" w:rsidRPr="001C49BD">
        <w:rPr>
          <w:rFonts w:ascii="Times New Roman" w:hAnsi="Times New Roman" w:cs="Times New Roman"/>
          <w:sz w:val="24"/>
          <w:szCs w:val="24"/>
        </w:rPr>
        <w:t>warfarin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2CE0" w:rsidRPr="001C49BD">
        <w:rPr>
          <w:rFonts w:ascii="Times New Roman" w:hAnsi="Times New Roman" w:cs="Times New Roman"/>
          <w:sz w:val="24"/>
          <w:szCs w:val="24"/>
        </w:rPr>
        <w:t xml:space="preserve"> per la prevenzione dell'ictus nei pazienti con fibrillazione atriale</w:t>
      </w:r>
      <w:r w:rsidR="00160198">
        <w:rPr>
          <w:rFonts w:ascii="Times New Roman" w:hAnsi="Times New Roman" w:cs="Times New Roman"/>
          <w:sz w:val="24"/>
          <w:szCs w:val="24"/>
        </w:rPr>
        <w:t>.</w:t>
      </w:r>
      <w:r w:rsidR="003B2CE0" w:rsidRPr="001C49BD">
        <w:rPr>
          <w:rFonts w:ascii="Times New Roman" w:hAnsi="Times New Roman" w:cs="Times New Roman"/>
          <w:sz w:val="24"/>
          <w:szCs w:val="24"/>
        </w:rPr>
        <w:t xml:space="preserve"> Nonostante l'efficacia dimostrata negli studi clinici</w:t>
      </w:r>
      <w:r w:rsidR="00A175B2">
        <w:rPr>
          <w:rFonts w:ascii="Times New Roman" w:hAnsi="Times New Roman" w:cs="Times New Roman"/>
          <w:sz w:val="24"/>
          <w:szCs w:val="24"/>
        </w:rPr>
        <w:t>, i</w:t>
      </w:r>
      <w:r w:rsidR="003B2CE0" w:rsidRPr="001C49BD">
        <w:rPr>
          <w:rFonts w:ascii="Times New Roman" w:hAnsi="Times New Roman" w:cs="Times New Roman"/>
          <w:sz w:val="24"/>
          <w:szCs w:val="24"/>
        </w:rPr>
        <w:t xml:space="preserve"> dati del mondo reale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B2CE0" w:rsidRPr="001C49BD">
        <w:rPr>
          <w:rFonts w:ascii="Times New Roman" w:hAnsi="Times New Roman" w:cs="Times New Roman"/>
          <w:sz w:val="24"/>
          <w:szCs w:val="24"/>
        </w:rPr>
        <w:t xml:space="preserve">i DOAC vs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warfarin</w:t>
      </w:r>
      <w:proofErr w:type="spellEnd"/>
      <w:r w:rsidR="00160198">
        <w:rPr>
          <w:rFonts w:ascii="Times New Roman" w:hAnsi="Times New Roman" w:cs="Times New Roman"/>
          <w:sz w:val="24"/>
          <w:szCs w:val="24"/>
        </w:rPr>
        <w:t xml:space="preserve"> </w:t>
      </w:r>
      <w:r w:rsidR="003B2CE0" w:rsidRPr="001C49BD">
        <w:rPr>
          <w:rFonts w:ascii="Times New Roman" w:hAnsi="Times New Roman" w:cs="Times New Roman"/>
          <w:sz w:val="24"/>
          <w:szCs w:val="24"/>
        </w:rPr>
        <w:t>per la prevenzione secondaria in pazienti con ictus ischemico</w:t>
      </w:r>
      <w:r w:rsidR="00A175B2">
        <w:rPr>
          <w:rFonts w:ascii="Times New Roman" w:hAnsi="Times New Roman" w:cs="Times New Roman"/>
          <w:sz w:val="24"/>
          <w:szCs w:val="24"/>
        </w:rPr>
        <w:t>,</w:t>
      </w:r>
      <w:r w:rsidR="003B2CE0" w:rsidRPr="001C49BD">
        <w:rPr>
          <w:rFonts w:ascii="Times New Roman" w:hAnsi="Times New Roman" w:cs="Times New Roman"/>
          <w:sz w:val="24"/>
          <w:szCs w:val="24"/>
        </w:rPr>
        <w:t xml:space="preserve"> sono in gran parte basati su affermazioni amministrative e </w:t>
      </w:r>
      <w:r w:rsidR="003B2CE0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hanno considerato </w:t>
      </w:r>
      <w:r w:rsidR="00A175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r w:rsidR="003B2CE0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>esiti rilevanti per il paziente.</w:t>
      </w:r>
      <w:r w:rsidR="00114CAE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4795D" w:rsidRPr="001C49BD">
        <w:rPr>
          <w:rFonts w:ascii="Times New Roman" w:hAnsi="Times New Roman" w:cs="Times New Roman"/>
          <w:sz w:val="24"/>
          <w:szCs w:val="24"/>
        </w:rPr>
        <w:t>E</w:t>
      </w:r>
      <w:r w:rsidR="00140028" w:rsidRPr="001C49B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95D" w:rsidRPr="001C49BD">
        <w:rPr>
          <w:rFonts w:ascii="Times New Roman" w:hAnsi="Times New Roman" w:cs="Times New Roman"/>
          <w:sz w:val="24"/>
          <w:szCs w:val="24"/>
        </w:rPr>
        <w:t xml:space="preserve">stato realizzato uno studio </w:t>
      </w:r>
      <w:r w:rsidR="00A175B2">
        <w:rPr>
          <w:rFonts w:ascii="Times New Roman" w:hAnsi="Times New Roman" w:cs="Times New Roman"/>
          <w:sz w:val="24"/>
          <w:szCs w:val="24"/>
        </w:rPr>
        <w:t>(</w:t>
      </w:r>
      <w:r w:rsidR="00160198">
        <w:rPr>
          <w:rFonts w:ascii="Times New Roman" w:hAnsi="Times New Roman" w:cs="Times New Roman"/>
          <w:sz w:val="24"/>
          <w:szCs w:val="24"/>
        </w:rPr>
        <w:t>1</w:t>
      </w:r>
      <w:r w:rsidR="00A175B2">
        <w:rPr>
          <w:rFonts w:ascii="Times New Roman" w:hAnsi="Times New Roman" w:cs="Times New Roman"/>
          <w:sz w:val="24"/>
          <w:szCs w:val="24"/>
        </w:rPr>
        <w:t xml:space="preserve">) </w:t>
      </w:r>
      <w:r w:rsidR="00E4795D" w:rsidRPr="001C49BD">
        <w:rPr>
          <w:rFonts w:ascii="Times New Roman" w:hAnsi="Times New Roman" w:cs="Times New Roman"/>
          <w:sz w:val="24"/>
          <w:szCs w:val="24"/>
        </w:rPr>
        <w:t>con l’obiettivo di esaminare l'efficacia clinica dei DOAC (</w:t>
      </w:r>
      <w:proofErr w:type="spellStart"/>
      <w:r w:rsidR="00E4795D" w:rsidRPr="001C49BD">
        <w:rPr>
          <w:rFonts w:ascii="Times New Roman" w:hAnsi="Times New Roman" w:cs="Times New Roman"/>
          <w:sz w:val="24"/>
          <w:szCs w:val="24"/>
        </w:rPr>
        <w:t>dabigatran</w:t>
      </w:r>
      <w:proofErr w:type="spellEnd"/>
      <w:r w:rsidR="00E4795D" w:rsidRPr="001C4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795D" w:rsidRPr="001C49BD">
        <w:rPr>
          <w:rFonts w:ascii="Times New Roman" w:hAnsi="Times New Roman" w:cs="Times New Roman"/>
          <w:sz w:val="24"/>
          <w:szCs w:val="24"/>
        </w:rPr>
        <w:t>rivaroxaban</w:t>
      </w:r>
      <w:proofErr w:type="spellEnd"/>
      <w:r w:rsidR="00E4795D" w:rsidRPr="001C49B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4795D" w:rsidRPr="001C49BD">
        <w:rPr>
          <w:rFonts w:ascii="Times New Roman" w:hAnsi="Times New Roman" w:cs="Times New Roman"/>
          <w:sz w:val="24"/>
          <w:szCs w:val="24"/>
        </w:rPr>
        <w:t>apixaban</w:t>
      </w:r>
      <w:proofErr w:type="spellEnd"/>
      <w:r w:rsidR="00E4795D" w:rsidRPr="001C49BD">
        <w:rPr>
          <w:rFonts w:ascii="Times New Roman" w:hAnsi="Times New Roman" w:cs="Times New Roman"/>
          <w:sz w:val="24"/>
          <w:szCs w:val="24"/>
        </w:rPr>
        <w:t xml:space="preserve">) rispetto al </w:t>
      </w:r>
      <w:proofErr w:type="spellStart"/>
      <w:r w:rsidR="00E4795D" w:rsidRPr="001C49BD">
        <w:rPr>
          <w:rFonts w:ascii="Times New Roman" w:hAnsi="Times New Roman" w:cs="Times New Roman"/>
          <w:sz w:val="24"/>
          <w:szCs w:val="24"/>
        </w:rPr>
        <w:t>warfarin</w:t>
      </w:r>
      <w:proofErr w:type="spellEnd"/>
      <w:r w:rsidR="00E4795D" w:rsidRPr="001C49BD">
        <w:rPr>
          <w:rFonts w:ascii="Times New Roman" w:hAnsi="Times New Roman" w:cs="Times New Roman"/>
          <w:sz w:val="24"/>
          <w:szCs w:val="24"/>
        </w:rPr>
        <w:t xml:space="preserve"> dopo ictus ischemico in pazienti con </w:t>
      </w:r>
      <w:r w:rsidR="00160198">
        <w:rPr>
          <w:rFonts w:ascii="Times New Roman" w:hAnsi="Times New Roman" w:cs="Times New Roman"/>
          <w:sz w:val="24"/>
          <w:szCs w:val="24"/>
        </w:rPr>
        <w:t>fibrillazione atriale</w:t>
      </w:r>
      <w:r w:rsidR="00E4795D" w:rsidRPr="001C49BD">
        <w:rPr>
          <w:rFonts w:ascii="Times New Roman" w:hAnsi="Times New Roman" w:cs="Times New Roman"/>
          <w:sz w:val="24"/>
          <w:szCs w:val="24"/>
        </w:rPr>
        <w:t>.</w:t>
      </w:r>
      <w:r w:rsidR="00CB3AF9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A1E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Utilizzando i dati ottenuti dallo studio PROSPER</w:t>
      </w:r>
      <w:r w:rsidR="00114CAE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60198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14CAE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35A1E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, i ricercatori hanno eseguito un'analisi dei pazienti di età pari o superiore a 65 anni </w:t>
      </w:r>
      <w:r w:rsidR="00CB3AF9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(media 80 anni)</w:t>
      </w:r>
      <w:r w:rsidR="00A175B2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B3AF9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5A1E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ricoverati in ospedale per </w:t>
      </w:r>
      <w:hyperlink r:id="rId8" w:history="1">
        <w:r w:rsidR="00635A1E" w:rsidRPr="001C49B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ictus ischemico acuto </w:t>
        </w:r>
      </w:hyperlink>
      <w:r w:rsidR="00635A1E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e con una storia di </w:t>
      </w:r>
      <w:hyperlink r:id="rId9" w:history="1">
        <w:r w:rsidR="00635A1E" w:rsidRPr="001C49B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fibrillazione atriale</w:t>
        </w:r>
      </w:hyperlink>
      <w:r w:rsidR="00CB3AF9" w:rsidRPr="001C49BD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</w:t>
      </w:r>
      <w:r w:rsidR="00E4795D" w:rsidRPr="001C49BD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mai trattati con anticoagulanti orali </w:t>
      </w:r>
      <w:r w:rsidR="00E4795D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>e dimessi da ospedali statunitensi nel rispetto delle linee guida per l’ictus.</w:t>
      </w:r>
      <w:r w:rsidR="00160198" w:rsidRPr="00160198">
        <w:rPr>
          <w:rFonts w:ascii="Times New Roman" w:hAnsi="Times New Roman" w:cs="Times New Roman"/>
          <w:sz w:val="24"/>
          <w:szCs w:val="24"/>
        </w:rPr>
        <w:t xml:space="preserve"> </w:t>
      </w:r>
      <w:r w:rsidR="00160198">
        <w:rPr>
          <w:rFonts w:ascii="Times New Roman" w:hAnsi="Times New Roman" w:cs="Times New Roman"/>
          <w:sz w:val="24"/>
          <w:szCs w:val="24"/>
        </w:rPr>
        <w:t>(3)</w:t>
      </w:r>
      <w:r w:rsidR="00160198" w:rsidRPr="001C49BD">
        <w:rPr>
          <w:rFonts w:ascii="Times New Roman" w:hAnsi="Times New Roman" w:cs="Times New Roman"/>
          <w:sz w:val="24"/>
          <w:szCs w:val="24"/>
        </w:rPr>
        <w:t xml:space="preserve"> </w:t>
      </w:r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gl</w:t>
      </w:r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i 11.662</w:t>
      </w:r>
      <w:r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 partecipanti, </w:t>
      </w:r>
      <w:r w:rsidR="00CB3AF9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 il</w:t>
      </w:r>
      <w:r w:rsidR="00CB3AF9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34,7% </w:t>
      </w:r>
      <w:r w:rsidR="00114CAE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114CAE" w:rsidRPr="001C49BD">
        <w:rPr>
          <w:rFonts w:ascii="Times New Roman" w:hAnsi="Times New Roman" w:cs="Times New Roman"/>
          <w:sz w:val="24"/>
          <w:szCs w:val="24"/>
        </w:rPr>
        <w:t xml:space="preserve">4041)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3AF9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stato dimesso con DOAC, i restanti </w:t>
      </w:r>
      <w:r w:rsidR="00114CAE" w:rsidRPr="001C49BD">
        <w:rPr>
          <w:rFonts w:ascii="Times New Roman" w:hAnsi="Times New Roman" w:cs="Times New Roman"/>
          <w:sz w:val="24"/>
          <w:szCs w:val="24"/>
        </w:rPr>
        <w:t xml:space="preserve">7621 </w:t>
      </w:r>
      <w:r w:rsidR="00A175B2" w:rsidRPr="001C49BD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="00A175B2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>warfarin</w:t>
      </w:r>
      <w:proofErr w:type="spellEnd"/>
      <w:r w:rsidR="00CB3AF9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senza </w:t>
      </w:r>
      <w:r w:rsidR="00160198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160198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>ignificative</w:t>
      </w:r>
      <w:r w:rsidR="00160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3AF9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>differenze di caratteristiche tra i due gruppi.</w:t>
      </w:r>
      <w:r w:rsidR="00140028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14CAE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proofErr w:type="spellStart"/>
      <w:r w:rsidR="00114CAE" w:rsidRPr="007E29B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outcome</w:t>
      </w:r>
      <w:proofErr w:type="spellEnd"/>
      <w:r w:rsidR="0072609A" w:rsidRPr="001C4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principali</w:t>
      </w:r>
      <w:r w:rsidR="00114CAE" w:rsidRPr="001C4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erano i </w:t>
      </w:r>
      <w:r w:rsidR="0072609A" w:rsidRPr="001C49BD">
        <w:rPr>
          <w:rFonts w:ascii="Times New Roman" w:hAnsi="Times New Roman" w:cs="Times New Roman"/>
          <w:sz w:val="24"/>
          <w:szCs w:val="24"/>
          <w:shd w:val="clear" w:color="auto" w:fill="FFFFFF"/>
        </w:rPr>
        <w:t>giorni di vita trascorsi a casa nell’anno successivo, senza ricovero in strutture residenziali ed eventi cardiovascolari maggiori (MACE).</w:t>
      </w:r>
      <w:r w:rsidR="00D23E9B" w:rsidRPr="001C49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Dopo aver confrontato i risultati dei pazienti trattati con </w:t>
      </w:r>
      <w:proofErr w:type="spellStart"/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dabigatran</w:t>
      </w:r>
      <w:proofErr w:type="spellEnd"/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rivaroxaban</w:t>
      </w:r>
      <w:proofErr w:type="spellEnd"/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apixaban</w:t>
      </w:r>
      <w:proofErr w:type="spellEnd"/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 con quelli trattati con </w:t>
      </w:r>
      <w:proofErr w:type="spellStart"/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warfarin</w:t>
      </w:r>
      <w:proofErr w:type="spellEnd"/>
      <w:r w:rsidR="00E4795D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, i ricercatori hanno scoperto che l'uso di DOAC alla dimissione era associato a migliori risultati a lungo termine.</w:t>
      </w:r>
      <w:r w:rsidR="00CB3AF9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0198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72609A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dettaglio</w:t>
      </w:r>
      <w:r w:rsidR="00114CAE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2609A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ei pazienti dimessi con DOAC </w:t>
      </w:r>
      <w:r w:rsidR="001601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rispetto </w:t>
      </w:r>
      <w:r w:rsidR="002724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dimessi con </w:t>
      </w:r>
      <w:proofErr w:type="spellStart"/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>warfarin</w:t>
      </w:r>
      <w:proofErr w:type="spellEnd"/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sono registrati più giorni a casa (in media 287,2 vs 263, con una differenza aggiustata di 15,6 </w:t>
      </w:r>
      <w:r w:rsidR="00A24F77" w:rsidRPr="001C49BD">
        <w:rPr>
          <w:rFonts w:ascii="Times New Roman" w:hAnsi="Times New Roman" w:cs="Times New Roman"/>
          <w:sz w:val="24"/>
          <w:szCs w:val="24"/>
        </w:rPr>
        <w:t xml:space="preserve">[IC al 99%, 9,0-22,1] 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giorni), meno MACE </w:t>
      </w:r>
      <w:r w:rsidR="00A24F77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="00A24F77" w:rsidRPr="007E29B3">
        <w:rPr>
          <w:rFonts w:ascii="Times New Roman" w:hAnsi="Times New Roman" w:cs="Times New Roman"/>
          <w:i/>
          <w:sz w:val="24"/>
          <w:szCs w:val="24"/>
        </w:rPr>
        <w:t>hazard</w:t>
      </w:r>
      <w:proofErr w:type="spellEnd"/>
      <w:r w:rsidR="00A24F77" w:rsidRPr="007E29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4F77" w:rsidRPr="007E29B3">
        <w:rPr>
          <w:rFonts w:ascii="Times New Roman" w:hAnsi="Times New Roman" w:cs="Times New Roman"/>
          <w:i/>
          <w:sz w:val="24"/>
          <w:szCs w:val="24"/>
        </w:rPr>
        <w:t>ratio</w:t>
      </w:r>
      <w:proofErr w:type="spellEnd"/>
      <w:r w:rsidR="00A24F77" w:rsidRPr="001C49BD">
        <w:rPr>
          <w:rFonts w:ascii="Times New Roman" w:hAnsi="Times New Roman" w:cs="Times New Roman"/>
          <w:sz w:val="24"/>
          <w:szCs w:val="24"/>
        </w:rPr>
        <w:t xml:space="preserve"> aggiustato [</w:t>
      </w:r>
      <w:proofErr w:type="spellStart"/>
      <w:r w:rsidR="00A24F77" w:rsidRPr="001C49BD">
        <w:rPr>
          <w:rFonts w:ascii="Times New Roman" w:hAnsi="Times New Roman" w:cs="Times New Roman"/>
          <w:sz w:val="24"/>
          <w:szCs w:val="24"/>
        </w:rPr>
        <w:t>aHR</w:t>
      </w:r>
      <w:proofErr w:type="spellEnd"/>
      <w:r w:rsidR="00A24F77" w:rsidRPr="001C49BD">
        <w:rPr>
          <w:rFonts w:ascii="Times New Roman" w:hAnsi="Times New Roman" w:cs="Times New Roman"/>
          <w:sz w:val="24"/>
          <w:szCs w:val="24"/>
        </w:rPr>
        <w:t>], 0,89 [IC 99%, 0,83-0,96])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meno decessi </w:t>
      </w:r>
      <w:r w:rsidR="00A24F77" w:rsidRPr="001C49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4F77" w:rsidRPr="001C49BD">
        <w:rPr>
          <w:rFonts w:ascii="Times New Roman" w:hAnsi="Times New Roman" w:cs="Times New Roman"/>
          <w:sz w:val="24"/>
          <w:szCs w:val="24"/>
        </w:rPr>
        <w:t>aHR</w:t>
      </w:r>
      <w:proofErr w:type="spellEnd"/>
      <w:r w:rsidR="00A24F77" w:rsidRPr="001C49BD">
        <w:rPr>
          <w:rFonts w:ascii="Times New Roman" w:hAnsi="Times New Roman" w:cs="Times New Roman"/>
          <w:sz w:val="24"/>
          <w:szCs w:val="24"/>
        </w:rPr>
        <w:t>, 0,88 [IC 95%, 0,82-0,95]; P &lt;.001)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724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meno 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ricoveri per qualunque causa ( </w:t>
      </w:r>
      <w:proofErr w:type="spellStart"/>
      <w:r w:rsidR="00A24F77" w:rsidRPr="001C49BD">
        <w:rPr>
          <w:rFonts w:ascii="Times New Roman" w:hAnsi="Times New Roman" w:cs="Times New Roman"/>
          <w:sz w:val="24"/>
          <w:szCs w:val="24"/>
        </w:rPr>
        <w:t>aHR</w:t>
      </w:r>
      <w:proofErr w:type="spellEnd"/>
      <w:r w:rsidR="00A24F77" w:rsidRPr="001C49BD">
        <w:rPr>
          <w:rFonts w:ascii="Times New Roman" w:hAnsi="Times New Roman" w:cs="Times New Roman"/>
          <w:sz w:val="24"/>
          <w:szCs w:val="24"/>
        </w:rPr>
        <w:t xml:space="preserve">, 0,92 [IC 95%, 0,88-0,97]; P = 0,003) 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per cause cardiovascolari </w:t>
      </w:r>
      <w:r w:rsidR="00D23E9B" w:rsidRPr="001C49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23E9B" w:rsidRPr="001C49BD">
        <w:rPr>
          <w:rFonts w:ascii="Times New Roman" w:hAnsi="Times New Roman" w:cs="Times New Roman"/>
          <w:sz w:val="24"/>
          <w:szCs w:val="24"/>
        </w:rPr>
        <w:t>aHR</w:t>
      </w:r>
      <w:proofErr w:type="spellEnd"/>
      <w:r w:rsidR="00D23E9B" w:rsidRPr="001C49BD">
        <w:rPr>
          <w:rFonts w:ascii="Times New Roman" w:hAnsi="Times New Roman" w:cs="Times New Roman"/>
          <w:sz w:val="24"/>
          <w:szCs w:val="24"/>
        </w:rPr>
        <w:t>, 0,92 [IC 95%, 0,86-0,99]; P = 0,02)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724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meno 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ictus emorragici </w:t>
      </w:r>
      <w:r w:rsidR="00D23E9B" w:rsidRPr="001C49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23E9B" w:rsidRPr="001C49BD">
        <w:rPr>
          <w:rFonts w:ascii="Times New Roman" w:hAnsi="Times New Roman" w:cs="Times New Roman"/>
          <w:sz w:val="24"/>
          <w:szCs w:val="24"/>
        </w:rPr>
        <w:t>aHR</w:t>
      </w:r>
      <w:proofErr w:type="spellEnd"/>
      <w:r w:rsidR="00D23E9B" w:rsidRPr="001C49BD">
        <w:rPr>
          <w:rFonts w:ascii="Times New Roman" w:hAnsi="Times New Roman" w:cs="Times New Roman"/>
          <w:sz w:val="24"/>
          <w:szCs w:val="24"/>
        </w:rPr>
        <w:t>, 0,69 [IC 95%, 0,50-0,95]; P = 0,02)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ricoveri per emorragie (</w:t>
      </w:r>
      <w:proofErr w:type="spellStart"/>
      <w:r w:rsidR="00A24F77" w:rsidRPr="001C49BD">
        <w:rPr>
          <w:rFonts w:ascii="Times New Roman" w:hAnsi="Times New Roman" w:cs="Times New Roman"/>
          <w:sz w:val="24"/>
          <w:szCs w:val="24"/>
        </w:rPr>
        <w:t>aHR</w:t>
      </w:r>
      <w:proofErr w:type="spellEnd"/>
      <w:r w:rsidR="00A24F77" w:rsidRPr="001C49BD">
        <w:rPr>
          <w:rFonts w:ascii="Times New Roman" w:hAnsi="Times New Roman" w:cs="Times New Roman"/>
          <w:sz w:val="24"/>
          <w:szCs w:val="24"/>
        </w:rPr>
        <w:t>, 0,89 [IC 95%, 0,81-0,97]; P = 0,009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="0072609A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pazienti dimessi con DOAC vs </w:t>
      </w:r>
      <w:proofErr w:type="spellStart"/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>warfarin</w:t>
      </w:r>
      <w:proofErr w:type="spellEnd"/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sono registrati però più sanguinamenti gastrointestinali</w:t>
      </w:r>
      <w:r w:rsidR="00D23E9B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D23E9B" w:rsidRPr="001C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E9B" w:rsidRPr="001C49BD">
        <w:rPr>
          <w:rFonts w:ascii="Times New Roman" w:hAnsi="Times New Roman" w:cs="Times New Roman"/>
          <w:sz w:val="24"/>
          <w:szCs w:val="24"/>
        </w:rPr>
        <w:t>aHR</w:t>
      </w:r>
      <w:proofErr w:type="spellEnd"/>
      <w:r w:rsidR="00D23E9B" w:rsidRPr="001C49BD">
        <w:rPr>
          <w:rFonts w:ascii="Times New Roman" w:hAnsi="Times New Roman" w:cs="Times New Roman"/>
          <w:sz w:val="24"/>
          <w:szCs w:val="24"/>
        </w:rPr>
        <w:t>, 1,14 [IC 95%, 1,01-1,30]; P = 0,03).</w:t>
      </w:r>
      <w:r w:rsidR="0072609A" w:rsidRPr="00726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14CAE" w:rsidRPr="001C49BD">
        <w:rPr>
          <w:rFonts w:ascii="Times New Roman" w:hAnsi="Times New Roman" w:cs="Times New Roman"/>
          <w:sz w:val="24"/>
          <w:szCs w:val="24"/>
        </w:rPr>
        <w:t>Si può, quindi, concludere</w:t>
      </w:r>
      <w:r w:rsidR="0027245D">
        <w:rPr>
          <w:rFonts w:ascii="Times New Roman" w:hAnsi="Times New Roman" w:cs="Times New Roman"/>
          <w:sz w:val="24"/>
          <w:szCs w:val="24"/>
        </w:rPr>
        <w:t>, secondo i risultati di questo studio di coorte,</w:t>
      </w:r>
      <w:r w:rsidR="00114CAE" w:rsidRPr="001C49BD">
        <w:rPr>
          <w:rFonts w:ascii="Times New Roman" w:hAnsi="Times New Roman" w:cs="Times New Roman"/>
          <w:sz w:val="24"/>
          <w:szCs w:val="24"/>
        </w:rPr>
        <w:t xml:space="preserve"> che</w:t>
      </w:r>
      <w:r w:rsidR="00860AFC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2CE0" w:rsidRPr="001C49BD">
        <w:rPr>
          <w:rStyle w:val="notranslate"/>
          <w:rFonts w:ascii="Times New Roman" w:hAnsi="Times New Roman" w:cs="Times New Roman"/>
          <w:sz w:val="24"/>
          <w:szCs w:val="24"/>
          <w:shd w:val="clear" w:color="auto" w:fill="FFFFFF"/>
        </w:rPr>
        <w:t>nei</w:t>
      </w:r>
      <w:r w:rsidR="00860AFC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pazienti con fibrillazione atriale che hanno subito un ictus ischemico, </w:t>
      </w:r>
      <w:r w:rsidR="00114CAE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="00114CAE" w:rsidRPr="001C49BD">
        <w:rPr>
          <w:rFonts w:ascii="Times New Roman" w:hAnsi="Times New Roman" w:cs="Times New Roman"/>
          <w:sz w:val="24"/>
          <w:szCs w:val="24"/>
        </w:rPr>
        <w:t xml:space="preserve"> anticoagulanti orali diretti sembrano essere un'opzione di trattamento </w:t>
      </w:r>
      <w:r w:rsidR="0027245D">
        <w:rPr>
          <w:rFonts w:ascii="Times New Roman" w:hAnsi="Times New Roman" w:cs="Times New Roman"/>
          <w:sz w:val="24"/>
          <w:szCs w:val="24"/>
        </w:rPr>
        <w:t xml:space="preserve">più </w:t>
      </w:r>
      <w:r w:rsidR="00114CAE" w:rsidRPr="001C49BD">
        <w:rPr>
          <w:rFonts w:ascii="Times New Roman" w:hAnsi="Times New Roman" w:cs="Times New Roman"/>
          <w:sz w:val="24"/>
          <w:szCs w:val="24"/>
        </w:rPr>
        <w:t xml:space="preserve">efficace e sicura rispetto al </w:t>
      </w:r>
      <w:proofErr w:type="spellStart"/>
      <w:r w:rsidR="00114CAE" w:rsidRPr="001C49BD">
        <w:rPr>
          <w:rFonts w:ascii="Times New Roman" w:hAnsi="Times New Roman" w:cs="Times New Roman"/>
          <w:sz w:val="24"/>
          <w:szCs w:val="24"/>
        </w:rPr>
        <w:t>warfarin</w:t>
      </w:r>
      <w:proofErr w:type="spellEnd"/>
      <w:r w:rsidR="0027245D">
        <w:rPr>
          <w:rFonts w:ascii="Times New Roman" w:hAnsi="Times New Roman" w:cs="Times New Roman"/>
          <w:sz w:val="24"/>
          <w:szCs w:val="24"/>
        </w:rPr>
        <w:t xml:space="preserve"> con </w:t>
      </w:r>
      <w:r w:rsidR="00860AFC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="00114CAE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modesto ma significativo aumento del </w:t>
      </w:r>
      <w:r w:rsidR="00860AFC" w:rsidRPr="001C49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rischio di emorragie gastrointestinali. </w:t>
      </w:r>
    </w:p>
    <w:p w:rsidR="00160198" w:rsidRPr="005077FB" w:rsidRDefault="005077FB" w:rsidP="00C47A8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077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BIBLIOGRAFIA</w:t>
      </w:r>
    </w:p>
    <w:p w:rsidR="00160198" w:rsidRPr="00C47A82" w:rsidRDefault="00A175B2" w:rsidP="00C47A82">
      <w:pPr>
        <w:spacing w:after="0" w:line="276" w:lineRule="auto"/>
        <w:jc w:val="both"/>
        <w:rPr>
          <w:rStyle w:val="meta-citation"/>
          <w:rFonts w:ascii="Times New Roman" w:hAnsi="Times New Roman" w:cs="Times New Roman"/>
          <w:sz w:val="24"/>
          <w:szCs w:val="24"/>
          <w:lang w:val="en-US"/>
        </w:rPr>
      </w:pPr>
      <w:r w:rsidRPr="00A175B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160198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A175B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D23E9B" w:rsidRPr="00A175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Xian Y. </w:t>
      </w:r>
      <w:r w:rsidR="001C49BD" w:rsidRPr="00A175B2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D23E9B" w:rsidRPr="00A175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 al. </w:t>
      </w:r>
      <w:r w:rsidR="00D23E9B" w:rsidRPr="00C47A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Clinical Effectiveness of Direct Oral Anticoagulants vs Warfarin in Older Patients With Atrial Fibrillation and Ischemic Stroke: Findings From the Patient-Centered Research Into Outcomes Stroke Patients Prefer and Effectiveness Research (PROSPER) Study. </w:t>
      </w:r>
      <w:r w:rsidR="00D23E9B" w:rsidRPr="00C47A82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>JAMA Neurol</w:t>
      </w:r>
      <w:r w:rsidR="00D23E9B" w:rsidRPr="00C47A8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 2019; 76: 1192–202. </w:t>
      </w:r>
      <w:r w:rsidR="001C49BD" w:rsidRPr="00C47A82">
        <w:rPr>
          <w:rStyle w:val="meta-citation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0198" w:rsidRPr="00C47A82" w:rsidRDefault="00160198" w:rsidP="00C47A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47A82"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 w:rsidR="00C45A2E" w:rsidRPr="00C47A82">
        <w:rPr>
          <w:rFonts w:ascii="Times New Roman" w:hAnsi="Times New Roman" w:cs="Times New Roman"/>
          <w:sz w:val="24"/>
          <w:szCs w:val="24"/>
          <w:lang w:val="en-US"/>
        </w:rPr>
        <w:t xml:space="preserve">Shepherd J, et al, PROSPER study group.  Pravastatin in elderly individuals at risk of vascular disease (PROSPER): a randomised controlled trial. </w:t>
      </w:r>
      <w:r w:rsidR="00C45A2E" w:rsidRPr="00C47A82">
        <w:rPr>
          <w:rFonts w:ascii="Times New Roman" w:hAnsi="Times New Roman" w:cs="Times New Roman"/>
          <w:i/>
          <w:sz w:val="24"/>
          <w:szCs w:val="24"/>
          <w:lang w:val="en-US"/>
        </w:rPr>
        <w:t>Lancet</w:t>
      </w:r>
      <w:r w:rsidR="00C45A2E" w:rsidRPr="00C47A82">
        <w:rPr>
          <w:rFonts w:ascii="Times New Roman" w:hAnsi="Times New Roman" w:cs="Times New Roman"/>
          <w:sz w:val="24"/>
          <w:szCs w:val="24"/>
          <w:lang w:val="en-US"/>
        </w:rPr>
        <w:t>. 2002 Nov 23;360:1623-30.</w:t>
      </w:r>
    </w:p>
    <w:p w:rsidR="00160198" w:rsidRDefault="00160198" w:rsidP="00C47A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A82">
        <w:rPr>
          <w:rFonts w:ascii="Times New Roman" w:hAnsi="Times New Roman" w:cs="Times New Roman"/>
          <w:sz w:val="24"/>
          <w:szCs w:val="24"/>
          <w:lang w:val="en-US"/>
        </w:rPr>
        <w:t>(3)</w:t>
      </w:r>
      <w:r w:rsidR="002A6398" w:rsidRPr="00C47A82">
        <w:rPr>
          <w:lang w:val="en-US"/>
        </w:rPr>
        <w:t xml:space="preserve"> </w:t>
      </w:r>
      <w:r w:rsidR="002A6398" w:rsidRPr="00C47A82">
        <w:rPr>
          <w:rFonts w:ascii="Times New Roman" w:hAnsi="Times New Roman" w:cs="Times New Roman"/>
          <w:sz w:val="24"/>
          <w:szCs w:val="24"/>
          <w:lang w:val="en-US"/>
        </w:rPr>
        <w:t xml:space="preserve">Furie KL, Jayaraman MV. </w:t>
      </w:r>
      <w:r w:rsidRPr="00C47A82">
        <w:rPr>
          <w:rFonts w:ascii="Times New Roman" w:hAnsi="Times New Roman" w:cs="Times New Roman"/>
          <w:sz w:val="24"/>
          <w:szCs w:val="24"/>
          <w:lang w:val="en-US"/>
        </w:rPr>
        <w:t>2018 Guidelines for the Early Management of Patients</w:t>
      </w:r>
      <w:r w:rsidR="00AB59F9" w:rsidRPr="00C47A82">
        <w:rPr>
          <w:rFonts w:ascii="Times New Roman" w:hAnsi="Times New Roman" w:cs="Times New Roman"/>
          <w:sz w:val="24"/>
          <w:szCs w:val="24"/>
          <w:lang w:val="en-US"/>
        </w:rPr>
        <w:t xml:space="preserve"> With Acute Ischemic Stroke. </w:t>
      </w:r>
      <w:proofErr w:type="spellStart"/>
      <w:r w:rsidR="002A6398" w:rsidRPr="002A6398">
        <w:rPr>
          <w:rFonts w:ascii="Times New Roman" w:hAnsi="Times New Roman" w:cs="Times New Roman"/>
          <w:i/>
          <w:sz w:val="24"/>
          <w:szCs w:val="24"/>
        </w:rPr>
        <w:t>Stroke</w:t>
      </w:r>
      <w:proofErr w:type="spellEnd"/>
      <w:r w:rsidR="002A6398" w:rsidRPr="002A6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398">
        <w:rPr>
          <w:rFonts w:ascii="Times New Roman" w:hAnsi="Times New Roman" w:cs="Times New Roman"/>
          <w:sz w:val="24"/>
          <w:szCs w:val="24"/>
        </w:rPr>
        <w:t>2018;</w:t>
      </w:r>
      <w:r w:rsidR="002A6398" w:rsidRPr="002A6398">
        <w:rPr>
          <w:rFonts w:ascii="Times New Roman" w:hAnsi="Times New Roman" w:cs="Times New Roman"/>
          <w:sz w:val="24"/>
          <w:szCs w:val="24"/>
        </w:rPr>
        <w:t>49(3):509-510.</w:t>
      </w:r>
    </w:p>
    <w:p w:rsidR="005077FB" w:rsidRDefault="005077FB" w:rsidP="00C47A8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198" w:rsidRPr="00556EBD" w:rsidRDefault="005077FB" w:rsidP="00C47A82">
      <w:pPr>
        <w:shd w:val="clear" w:color="auto" w:fill="FFFFFF"/>
        <w:spacing w:after="0" w:line="276" w:lineRule="auto"/>
        <w:jc w:val="both"/>
        <w:rPr>
          <w:rStyle w:val="meta-citation"/>
          <w:rFonts w:ascii="Times New Roman" w:hAnsi="Times New Roman" w:cs="Times New Roman"/>
          <w:i/>
          <w:color w:val="7F7F7F" w:themeColor="text1" w:themeTint="80"/>
        </w:rPr>
      </w:pPr>
      <w:r w:rsidRPr="00556EBD">
        <w:rPr>
          <w:rFonts w:ascii="Times New Roman" w:hAnsi="Times New Roman" w:cs="Times New Roman"/>
          <w:i/>
          <w:color w:val="7F7F7F" w:themeColor="text1" w:themeTint="80"/>
        </w:rPr>
        <w:t>Testo visionato ed approvato da: Prof. Renato Nami, Docente FR di Cardiologia</w:t>
      </w:r>
      <w:r w:rsidR="00556EBD">
        <w:rPr>
          <w:rFonts w:ascii="Times New Roman" w:hAnsi="Times New Roman" w:cs="Times New Roman"/>
          <w:i/>
          <w:color w:val="7F7F7F" w:themeColor="text1" w:themeTint="80"/>
        </w:rPr>
        <w:t>,</w:t>
      </w:r>
      <w:r w:rsidRPr="00556EBD">
        <w:rPr>
          <w:rFonts w:ascii="Times New Roman" w:hAnsi="Times New Roman" w:cs="Times New Roman"/>
          <w:i/>
          <w:color w:val="7F7F7F" w:themeColor="text1" w:themeTint="80"/>
        </w:rPr>
        <w:t xml:space="preserve"> Università degli Studi di Siena.</w:t>
      </w:r>
      <w:bookmarkStart w:id="0" w:name="_GoBack"/>
      <w:bookmarkEnd w:id="0"/>
    </w:p>
    <w:p w:rsidR="009844B9" w:rsidRPr="00A175B2" w:rsidRDefault="009844B9" w:rsidP="00C47A82">
      <w:pPr>
        <w:spacing w:line="276" w:lineRule="auto"/>
        <w:jc w:val="both"/>
        <w:rPr>
          <w:rStyle w:val="meta-citation"/>
          <w:rFonts w:ascii="Times New Roman" w:hAnsi="Times New Roman" w:cs="Times New Roman"/>
          <w:sz w:val="24"/>
          <w:szCs w:val="24"/>
        </w:rPr>
      </w:pPr>
    </w:p>
    <w:sectPr w:rsidR="009844B9" w:rsidRPr="00A175B2" w:rsidSect="005077FB">
      <w:pgSz w:w="11906" w:h="16838"/>
      <w:pgMar w:top="9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E0" w:rsidRDefault="007165E0" w:rsidP="005077FB">
      <w:pPr>
        <w:spacing w:after="0" w:line="240" w:lineRule="auto"/>
      </w:pPr>
      <w:r>
        <w:separator/>
      </w:r>
    </w:p>
  </w:endnote>
  <w:endnote w:type="continuationSeparator" w:id="0">
    <w:p w:rsidR="007165E0" w:rsidRDefault="007165E0" w:rsidP="0050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E0" w:rsidRDefault="007165E0" w:rsidP="005077FB">
      <w:pPr>
        <w:spacing w:after="0" w:line="240" w:lineRule="auto"/>
      </w:pPr>
      <w:r>
        <w:separator/>
      </w:r>
    </w:p>
  </w:footnote>
  <w:footnote w:type="continuationSeparator" w:id="0">
    <w:p w:rsidR="007165E0" w:rsidRDefault="007165E0" w:rsidP="0050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4E52"/>
    <w:multiLevelType w:val="multilevel"/>
    <w:tmpl w:val="B47C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642DB"/>
    <w:multiLevelType w:val="multilevel"/>
    <w:tmpl w:val="FE12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E4A9C"/>
    <w:multiLevelType w:val="multilevel"/>
    <w:tmpl w:val="33E2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61FCF"/>
    <w:multiLevelType w:val="multilevel"/>
    <w:tmpl w:val="E64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33020"/>
    <w:multiLevelType w:val="multilevel"/>
    <w:tmpl w:val="CB18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D53EC"/>
    <w:multiLevelType w:val="multilevel"/>
    <w:tmpl w:val="8AC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C30AD"/>
    <w:multiLevelType w:val="multilevel"/>
    <w:tmpl w:val="32D6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4B9"/>
    <w:rsid w:val="00114CAE"/>
    <w:rsid w:val="00140028"/>
    <w:rsid w:val="00160198"/>
    <w:rsid w:val="001C49BD"/>
    <w:rsid w:val="00205E79"/>
    <w:rsid w:val="0027245D"/>
    <w:rsid w:val="002A6398"/>
    <w:rsid w:val="003B2CE0"/>
    <w:rsid w:val="005077FB"/>
    <w:rsid w:val="00556EBD"/>
    <w:rsid w:val="00575EBA"/>
    <w:rsid w:val="006338FA"/>
    <w:rsid w:val="00635A1E"/>
    <w:rsid w:val="00650C78"/>
    <w:rsid w:val="007165E0"/>
    <w:rsid w:val="0072609A"/>
    <w:rsid w:val="007E29B3"/>
    <w:rsid w:val="00860AFC"/>
    <w:rsid w:val="008F6F52"/>
    <w:rsid w:val="009844B9"/>
    <w:rsid w:val="00A175B2"/>
    <w:rsid w:val="00A24F77"/>
    <w:rsid w:val="00AB59F9"/>
    <w:rsid w:val="00AE5C1F"/>
    <w:rsid w:val="00AF5C3C"/>
    <w:rsid w:val="00C45A2E"/>
    <w:rsid w:val="00C47A82"/>
    <w:rsid w:val="00C528E0"/>
    <w:rsid w:val="00CB3AF9"/>
    <w:rsid w:val="00CC708E"/>
    <w:rsid w:val="00D23E9B"/>
    <w:rsid w:val="00DA0D1E"/>
    <w:rsid w:val="00DE3736"/>
    <w:rsid w:val="00E4795D"/>
    <w:rsid w:val="00F7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8E0"/>
  </w:style>
  <w:style w:type="paragraph" w:styleId="Titolo1">
    <w:name w:val="heading 1"/>
    <w:basedOn w:val="Normale"/>
    <w:link w:val="Titolo1Carattere"/>
    <w:uiPriority w:val="9"/>
    <w:qFormat/>
    <w:rsid w:val="00984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4B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ottotitolo1">
    <w:name w:val="Sottotitolo1"/>
    <w:basedOn w:val="Carpredefinitoparagrafo"/>
    <w:rsid w:val="009844B9"/>
  </w:style>
  <w:style w:type="character" w:customStyle="1" w:styleId="meta-citation-journal-name">
    <w:name w:val="meta-citation-journal-name"/>
    <w:basedOn w:val="Carpredefinitoparagrafo"/>
    <w:rsid w:val="009844B9"/>
  </w:style>
  <w:style w:type="character" w:customStyle="1" w:styleId="meta-citation">
    <w:name w:val="meta-citation"/>
    <w:basedOn w:val="Carpredefinitoparagrafo"/>
    <w:rsid w:val="009844B9"/>
  </w:style>
  <w:style w:type="paragraph" w:styleId="NormaleWeb">
    <w:name w:val="Normal (Web)"/>
    <w:basedOn w:val="Normale"/>
    <w:uiPriority w:val="99"/>
    <w:semiHidden/>
    <w:unhideWhenUsed/>
    <w:rsid w:val="0098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44B9"/>
    <w:rPr>
      <w:b/>
      <w:bCs/>
    </w:rPr>
  </w:style>
  <w:style w:type="paragraph" w:customStyle="1" w:styleId="ui-tabs-tab">
    <w:name w:val="ui-tabs-tab"/>
    <w:basedOn w:val="Normale"/>
    <w:rsid w:val="0098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44B9"/>
    <w:rPr>
      <w:color w:val="0000FF"/>
      <w:u w:val="single"/>
    </w:rPr>
  </w:style>
  <w:style w:type="character" w:customStyle="1" w:styleId="notranslate">
    <w:name w:val="notranslate"/>
    <w:basedOn w:val="Carpredefinitoparagrafo"/>
    <w:rsid w:val="00635A1E"/>
  </w:style>
  <w:style w:type="character" w:styleId="Enfasicorsivo">
    <w:name w:val="Emphasis"/>
    <w:basedOn w:val="Carpredefinitoparagrafo"/>
    <w:uiPriority w:val="20"/>
    <w:qFormat/>
    <w:rsid w:val="00635A1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07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7FB"/>
  </w:style>
  <w:style w:type="paragraph" w:styleId="Pidipagina">
    <w:name w:val="footer"/>
    <w:basedOn w:val="Normale"/>
    <w:link w:val="PidipaginaCarattere"/>
    <w:uiPriority w:val="99"/>
    <w:unhideWhenUsed/>
    <w:rsid w:val="00507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84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44B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ottotitolo1">
    <w:name w:val="Sottotitolo1"/>
    <w:basedOn w:val="Carpredefinitoparagrafo"/>
    <w:rsid w:val="009844B9"/>
  </w:style>
  <w:style w:type="character" w:customStyle="1" w:styleId="meta-citation-journal-name">
    <w:name w:val="meta-citation-journal-name"/>
    <w:basedOn w:val="Carpredefinitoparagrafo"/>
    <w:rsid w:val="009844B9"/>
  </w:style>
  <w:style w:type="character" w:customStyle="1" w:styleId="meta-citation">
    <w:name w:val="meta-citation"/>
    <w:basedOn w:val="Carpredefinitoparagrafo"/>
    <w:rsid w:val="009844B9"/>
  </w:style>
  <w:style w:type="paragraph" w:styleId="NormaleWeb">
    <w:name w:val="Normal (Web)"/>
    <w:basedOn w:val="Normale"/>
    <w:uiPriority w:val="99"/>
    <w:semiHidden/>
    <w:unhideWhenUsed/>
    <w:rsid w:val="0098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44B9"/>
    <w:rPr>
      <w:b/>
      <w:bCs/>
    </w:rPr>
  </w:style>
  <w:style w:type="paragraph" w:customStyle="1" w:styleId="ui-tabs-tab">
    <w:name w:val="ui-tabs-tab"/>
    <w:basedOn w:val="Normale"/>
    <w:rsid w:val="0098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44B9"/>
    <w:rPr>
      <w:color w:val="0000FF"/>
      <w:u w:val="single"/>
    </w:rPr>
  </w:style>
  <w:style w:type="character" w:customStyle="1" w:styleId="notranslate">
    <w:name w:val="notranslate"/>
    <w:basedOn w:val="Carpredefinitoparagrafo"/>
    <w:rsid w:val="00635A1E"/>
  </w:style>
  <w:style w:type="character" w:styleId="Enfasicorsivo">
    <w:name w:val="Emphasis"/>
    <w:basedOn w:val="Carpredefinitoparagrafo"/>
    <w:uiPriority w:val="20"/>
    <w:qFormat/>
    <w:rsid w:val="00635A1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07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7FB"/>
  </w:style>
  <w:style w:type="paragraph" w:styleId="Pidipagina">
    <w:name w:val="footer"/>
    <w:basedOn w:val="Normale"/>
    <w:link w:val="PidipaginaCarattere"/>
    <w:uiPriority w:val="99"/>
    <w:unhideWhenUsed/>
    <w:rsid w:val="00507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c?depth=1&amp;hl=it&amp;prev=search&amp;rurl=translate.google.com&amp;sl=en&amp;sp=nmt4&amp;u=https://www.mdmag.com/conditions/stroke-prevention&amp;xid=25657,15700022,15700186,15700191,15700256,15700259,15700262,15700265,15700271,15700283&amp;usg=ALkJrhhMLsYnA6yUP4MFlyOPobUVpfxX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anslate.googleusercontent.com/translate_c?depth=1&amp;hl=it&amp;prev=search&amp;rurl=translate.google.com&amp;sl=en&amp;sp=nmt4&amp;u=https://www.mdmag.com/specialty/cardiology&amp;xid=25657,15700022,15700186,15700191,15700256,15700259,15700262,15700265,15700271,15700283&amp;usg=ALkJrhiA4BGqQTBtOcLLiG_K1iuYXDeLo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EF5C-8618-487F-B753-4A29617A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segreteria_nazionale</cp:lastModifiedBy>
  <cp:revision>2</cp:revision>
  <dcterms:created xsi:type="dcterms:W3CDTF">2019-12-16T10:58:00Z</dcterms:created>
  <dcterms:modified xsi:type="dcterms:W3CDTF">2019-12-16T10:58:00Z</dcterms:modified>
</cp:coreProperties>
</file>